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A02F" w14:textId="51CB2E8B" w:rsidR="008F26F5" w:rsidRPr="00FC2CA5" w:rsidRDefault="008F26F5" w:rsidP="00A01EB2">
      <w:pPr>
        <w:spacing w:after="0" w:line="360" w:lineRule="auto"/>
        <w:rPr>
          <w:b/>
          <w:bCs/>
        </w:rPr>
      </w:pPr>
      <w:r w:rsidRPr="00FC2CA5">
        <w:rPr>
          <w:b/>
          <w:bCs/>
        </w:rPr>
        <w:t>Lekooporność</w:t>
      </w:r>
      <w:r w:rsidR="004A608B" w:rsidRPr="00FC2CA5">
        <w:rPr>
          <w:b/>
          <w:bCs/>
        </w:rPr>
        <w:t xml:space="preserve"> drobnoustrojów</w:t>
      </w:r>
      <w:r w:rsidRPr="00FC2CA5">
        <w:rPr>
          <w:b/>
          <w:bCs/>
        </w:rPr>
        <w:t xml:space="preserve"> – globalne wyzwanie zdrowia publicznego</w:t>
      </w:r>
    </w:p>
    <w:p w14:paraId="2D0117C9" w14:textId="390B58E4" w:rsidR="000B3D61" w:rsidRPr="00FC2CA5" w:rsidRDefault="008F26F5" w:rsidP="00344132">
      <w:pPr>
        <w:spacing w:after="0" w:line="360" w:lineRule="auto"/>
      </w:pPr>
      <w:bookmarkStart w:id="0" w:name="_Hlk213150012"/>
      <w:r w:rsidRPr="00FC2CA5">
        <w:t xml:space="preserve">Oporność drobnoustrojów na środki przeciwdrobnoustrojowe jest jednym z największych współczesnych zagrożeń zdrowia publicznego. </w:t>
      </w:r>
      <w:r w:rsidR="002621A0" w:rsidRPr="00FC2CA5">
        <w:t>Zjawisko to dotyczy różnych grup patogenów – przede wszystkim bakterii, ale także wirusów, grzybów i pasożytów</w:t>
      </w:r>
      <w:r w:rsidR="00A01EB2" w:rsidRPr="00FC2CA5">
        <w:t xml:space="preserve">. </w:t>
      </w:r>
      <w:r w:rsidRPr="00FC2CA5">
        <w:t xml:space="preserve"> </w:t>
      </w:r>
      <w:r w:rsidR="000B3D61" w:rsidRPr="00FC2CA5">
        <w:t xml:space="preserve">Na wniosek Europejskiego </w:t>
      </w:r>
      <w:r w:rsidR="000A336C" w:rsidRPr="00FC2CA5">
        <w:t>C</w:t>
      </w:r>
      <w:r w:rsidR="000B3D61" w:rsidRPr="00FC2CA5">
        <w:t xml:space="preserve">entrum Kontroli Chorób (ECDC) Komisja Europejska </w:t>
      </w:r>
      <w:r w:rsidR="000A336C" w:rsidRPr="00FC2CA5">
        <w:t>u</w:t>
      </w:r>
      <w:r w:rsidR="000B3D61" w:rsidRPr="00FC2CA5">
        <w:t>stanowiła </w:t>
      </w:r>
      <w:r w:rsidR="000A336C" w:rsidRPr="00FC2CA5">
        <w:t xml:space="preserve">w 2008 roku </w:t>
      </w:r>
      <w:r w:rsidR="000B3D61" w:rsidRPr="00FC2CA5">
        <w:rPr>
          <w:rStyle w:val="Pogrubienie"/>
          <w:b w:val="0"/>
          <w:bCs w:val="0"/>
        </w:rPr>
        <w:t>Europejski Dzień Wiedzy Antybiotykach</w:t>
      </w:r>
      <w:r w:rsidR="000B3D61" w:rsidRPr="00FC2CA5">
        <w:t xml:space="preserve">, który corocznie obchodzony </w:t>
      </w:r>
      <w:r w:rsidR="000A336C" w:rsidRPr="00FC2CA5">
        <w:t xml:space="preserve">jest </w:t>
      </w:r>
      <w:r w:rsidR="000B3D61" w:rsidRPr="00FC2CA5">
        <w:rPr>
          <w:rStyle w:val="Pogrubienie"/>
          <w:b w:val="0"/>
          <w:bCs w:val="0"/>
        </w:rPr>
        <w:t>18 listopada</w:t>
      </w:r>
      <w:r w:rsidR="000B3D61" w:rsidRPr="00FC2CA5">
        <w:t>. Z kolei w dniach </w:t>
      </w:r>
      <w:r w:rsidR="000B3D61" w:rsidRPr="00FC2CA5">
        <w:rPr>
          <w:rStyle w:val="Pogrubienie"/>
          <w:b w:val="0"/>
          <w:bCs w:val="0"/>
        </w:rPr>
        <w:t>18-24 listopada</w:t>
      </w:r>
      <w:r w:rsidR="000B3D61" w:rsidRPr="00FC2CA5">
        <w:t> obchodzony jest </w:t>
      </w:r>
      <w:r w:rsidR="000B3D61" w:rsidRPr="00FC2CA5">
        <w:rPr>
          <w:rStyle w:val="Pogrubienie"/>
          <w:b w:val="0"/>
          <w:bCs w:val="0"/>
        </w:rPr>
        <w:t>Światowy Tydzień Wiedzy o Antybiotykach</w:t>
      </w:r>
      <w:r w:rsidR="000B3D61" w:rsidRPr="00FC2CA5">
        <w:t> ustanowiony przez Światową Organizacj</w:t>
      </w:r>
      <w:r w:rsidR="000A336C" w:rsidRPr="00FC2CA5">
        <w:t>ę</w:t>
      </w:r>
      <w:r w:rsidR="000B3D61" w:rsidRPr="00FC2CA5">
        <w:t xml:space="preserve"> </w:t>
      </w:r>
      <w:r w:rsidR="000A336C" w:rsidRPr="00FC2CA5">
        <w:t>Z</w:t>
      </w:r>
      <w:r w:rsidR="000B3D61" w:rsidRPr="00FC2CA5">
        <w:t>drowia (WHO) w roku 2015</w:t>
      </w:r>
      <w:r w:rsidR="000A336C" w:rsidRPr="00FC2CA5">
        <w:t>.</w:t>
      </w:r>
    </w:p>
    <w:bookmarkEnd w:id="0"/>
    <w:p w14:paraId="445EC50C" w14:textId="77777777" w:rsidR="00DB6949" w:rsidRPr="00FC2CA5" w:rsidRDefault="00DB6949" w:rsidP="00420D42">
      <w:pPr>
        <w:pStyle w:val="Bezodstpw"/>
        <w:spacing w:line="360" w:lineRule="auto"/>
        <w:rPr>
          <w:b/>
          <w:bCs/>
        </w:rPr>
      </w:pPr>
    </w:p>
    <w:p w14:paraId="5133D1C2" w14:textId="7968CBC9" w:rsidR="008F26F5" w:rsidRPr="00FC2CA5" w:rsidRDefault="00DB6949" w:rsidP="00420D42">
      <w:pPr>
        <w:pStyle w:val="Bezodstpw"/>
        <w:spacing w:line="360" w:lineRule="auto"/>
        <w:rPr>
          <w:b/>
          <w:bCs/>
        </w:rPr>
      </w:pPr>
      <w:r w:rsidRPr="00FC2CA5">
        <w:rPr>
          <w:b/>
          <w:bCs/>
        </w:rPr>
        <w:t>Skąd bierze się oporność drobnoustrojów na leki przeciwdrobnoustrojowe?</w:t>
      </w:r>
    </w:p>
    <w:p w14:paraId="1E2DF81C" w14:textId="48DD1741" w:rsidR="00420D42" w:rsidRPr="00FC2CA5" w:rsidRDefault="00420D42" w:rsidP="00420D42">
      <w:pPr>
        <w:pStyle w:val="Bezodstpw"/>
        <w:spacing w:line="360" w:lineRule="auto"/>
        <w:rPr>
          <w:rFonts w:eastAsia="Times New Roman" w:cs="Open Sans"/>
          <w:kern w:val="0"/>
          <w:lang w:eastAsia="pl-PL"/>
          <w14:ligatures w14:val="none"/>
        </w:rPr>
      </w:pPr>
      <w:r w:rsidRPr="00FC2CA5">
        <w:rPr>
          <w:rFonts w:eastAsia="Times New Roman" w:cs="Open Sans"/>
          <w:kern w:val="0"/>
          <w:lang w:eastAsia="pl-PL"/>
          <w14:ligatures w14:val="none"/>
        </w:rPr>
        <w:t xml:space="preserve">Przyczynami narastania i rozprzestrzeniania się oporności na </w:t>
      </w:r>
      <w:r w:rsidR="00DB6949" w:rsidRPr="00FC2CA5">
        <w:rPr>
          <w:rFonts w:eastAsia="Times New Roman" w:cs="Open Sans"/>
          <w:kern w:val="0"/>
          <w:lang w:eastAsia="pl-PL"/>
          <w14:ligatures w14:val="none"/>
        </w:rPr>
        <w:t>leki</w:t>
      </w:r>
      <w:r w:rsidRPr="00FC2CA5">
        <w:rPr>
          <w:rFonts w:eastAsia="Times New Roman" w:cs="Open Sans"/>
          <w:kern w:val="0"/>
          <w:lang w:eastAsia="pl-PL"/>
          <w14:ligatures w14:val="none"/>
        </w:rPr>
        <w:t xml:space="preserve"> są:</w:t>
      </w:r>
    </w:p>
    <w:p w14:paraId="30F24F4B" w14:textId="12836793" w:rsidR="00DB6949" w:rsidRPr="00FC2CA5" w:rsidRDefault="006C09E0" w:rsidP="00420D42">
      <w:pPr>
        <w:pStyle w:val="Bezodstpw"/>
        <w:numPr>
          <w:ilvl w:val="0"/>
          <w:numId w:val="14"/>
        </w:numPr>
        <w:spacing w:line="360" w:lineRule="auto"/>
        <w:rPr>
          <w:rFonts w:eastAsia="Times New Roman" w:cs="Open Sans"/>
          <w:kern w:val="0"/>
          <w:lang w:eastAsia="pl-PL"/>
          <w14:ligatures w14:val="none"/>
        </w:rPr>
      </w:pPr>
      <w:r w:rsidRPr="00FC2CA5">
        <w:rPr>
          <w:rFonts w:eastAsia="Times New Roman" w:cs="Open Sans"/>
          <w:kern w:val="0"/>
          <w:lang w:eastAsia="pl-PL"/>
          <w14:ligatures w14:val="none"/>
        </w:rPr>
        <w:t xml:space="preserve">stosowanie środków przeciwdrobnoustrojowych </w:t>
      </w:r>
      <w:r w:rsidR="00DB6949" w:rsidRPr="00FC2CA5">
        <w:rPr>
          <w:rFonts w:eastAsia="Times New Roman" w:cs="Open Sans"/>
          <w:kern w:val="0"/>
          <w:lang w:eastAsia="pl-PL"/>
          <w14:ligatures w14:val="none"/>
        </w:rPr>
        <w:t>w rolnictwie oraz w hodowli i leczeniu zwierząt, mimo</w:t>
      </w:r>
      <w:r w:rsidRPr="00FC2CA5">
        <w:rPr>
          <w:rFonts w:eastAsia="Times New Roman" w:cs="Open Sans"/>
          <w:kern w:val="0"/>
          <w:lang w:eastAsia="pl-PL"/>
          <w14:ligatures w14:val="none"/>
        </w:rPr>
        <w:t xml:space="preserve"> prawnych</w:t>
      </w:r>
      <w:r w:rsidR="00DB6949" w:rsidRPr="00FC2CA5">
        <w:rPr>
          <w:rFonts w:eastAsia="Times New Roman" w:cs="Open Sans"/>
          <w:kern w:val="0"/>
          <w:lang w:eastAsia="pl-PL"/>
          <w14:ligatures w14:val="none"/>
        </w:rPr>
        <w:t xml:space="preserve"> ograniczeń w krajach w Unii Europejskiej</w:t>
      </w:r>
    </w:p>
    <w:p w14:paraId="282F0115" w14:textId="34E3EAB0" w:rsidR="00420D42" w:rsidRPr="00FC2CA5" w:rsidRDefault="00420D42" w:rsidP="00420D42">
      <w:pPr>
        <w:pStyle w:val="Bezodstpw"/>
        <w:numPr>
          <w:ilvl w:val="0"/>
          <w:numId w:val="14"/>
        </w:numPr>
        <w:spacing w:line="360" w:lineRule="auto"/>
        <w:rPr>
          <w:rFonts w:eastAsia="Times New Roman" w:cs="Open Sans"/>
          <w:kern w:val="0"/>
          <w:lang w:eastAsia="pl-PL"/>
          <w14:ligatures w14:val="none"/>
        </w:rPr>
      </w:pPr>
      <w:r w:rsidRPr="00FC2CA5">
        <w:rPr>
          <w:rFonts w:eastAsia="Times New Roman" w:cs="Open Sans"/>
          <w:kern w:val="0"/>
          <w:lang w:eastAsia="pl-PL"/>
          <w14:ligatures w14:val="none"/>
        </w:rPr>
        <w:t>nadużywanie i niewłaściwe stosowanie</w:t>
      </w:r>
      <w:r w:rsidR="00DB6949" w:rsidRPr="00FC2CA5">
        <w:rPr>
          <w:rFonts w:eastAsia="Times New Roman" w:cs="Open Sans"/>
          <w:kern w:val="0"/>
          <w:lang w:eastAsia="pl-PL"/>
          <w14:ligatures w14:val="none"/>
        </w:rPr>
        <w:t xml:space="preserve"> </w:t>
      </w:r>
      <w:r w:rsidR="006C09E0" w:rsidRPr="00FC2CA5">
        <w:rPr>
          <w:rFonts w:eastAsia="Times New Roman" w:cs="Open Sans"/>
          <w:kern w:val="0"/>
          <w:lang w:eastAsia="pl-PL"/>
          <w14:ligatures w14:val="none"/>
        </w:rPr>
        <w:t xml:space="preserve">środków przeciwdrobnoustrojowych </w:t>
      </w:r>
      <w:r w:rsidRPr="00FC2CA5">
        <w:rPr>
          <w:rFonts w:eastAsia="Times New Roman" w:cs="Open Sans"/>
          <w:kern w:val="0"/>
          <w:lang w:eastAsia="pl-PL"/>
          <w14:ligatures w14:val="none"/>
        </w:rPr>
        <w:t xml:space="preserve">w </w:t>
      </w:r>
      <w:r w:rsidR="006C09E0" w:rsidRPr="00FC2CA5">
        <w:rPr>
          <w:rFonts w:eastAsia="Times New Roman" w:cs="Open Sans"/>
          <w:kern w:val="0"/>
          <w:lang w:eastAsia="pl-PL"/>
          <w14:ligatures w14:val="none"/>
        </w:rPr>
        <w:t>leczeniu ludzi</w:t>
      </w:r>
      <w:r w:rsidRPr="00FC2CA5">
        <w:rPr>
          <w:rFonts w:eastAsia="Times New Roman" w:cs="Open Sans"/>
          <w:kern w:val="0"/>
          <w:lang w:eastAsia="pl-PL"/>
          <w14:ligatures w14:val="none"/>
        </w:rPr>
        <w:t xml:space="preserve"> – zbyt częste przepisywanie antybiotyków w nieuzasadnionych przypadkach (np. w chorobach wirusowych</w:t>
      </w:r>
      <w:r w:rsidR="00DB6949" w:rsidRPr="00FC2CA5">
        <w:rPr>
          <w:rFonts w:eastAsia="Times New Roman" w:cs="Open Sans"/>
          <w:kern w:val="0"/>
          <w:lang w:eastAsia="pl-PL"/>
          <w14:ligatures w14:val="none"/>
        </w:rPr>
        <w:t>, w stanach zapalnych nieinfekcyjnych</w:t>
      </w:r>
      <w:r w:rsidRPr="00FC2CA5">
        <w:rPr>
          <w:rFonts w:eastAsia="Times New Roman" w:cs="Open Sans"/>
          <w:kern w:val="0"/>
          <w:lang w:eastAsia="pl-PL"/>
          <w14:ligatures w14:val="none"/>
        </w:rPr>
        <w:t xml:space="preserve">), </w:t>
      </w:r>
    </w:p>
    <w:p w14:paraId="71502D3F" w14:textId="206C1236" w:rsidR="00420D42" w:rsidRPr="00FC2CA5" w:rsidRDefault="00420D42" w:rsidP="00420D42">
      <w:pPr>
        <w:pStyle w:val="Bezodstpw"/>
        <w:numPr>
          <w:ilvl w:val="0"/>
          <w:numId w:val="14"/>
        </w:numPr>
        <w:spacing w:line="360" w:lineRule="auto"/>
        <w:rPr>
          <w:rFonts w:eastAsia="Times New Roman" w:cs="Open Sans"/>
          <w:kern w:val="0"/>
          <w:lang w:eastAsia="pl-PL"/>
          <w14:ligatures w14:val="none"/>
        </w:rPr>
      </w:pPr>
      <w:r w:rsidRPr="00FC2CA5">
        <w:rPr>
          <w:rFonts w:eastAsia="Times New Roman" w:cs="Open Sans"/>
          <w:kern w:val="0"/>
          <w:lang w:eastAsia="pl-PL"/>
          <w14:ligatures w14:val="none"/>
        </w:rPr>
        <w:t>samoleczenie – przyjmowanie antybiotyków „na własną rękę”</w:t>
      </w:r>
      <w:r w:rsidR="00DB6949" w:rsidRPr="00FC2CA5">
        <w:rPr>
          <w:rFonts w:eastAsia="Times New Roman" w:cs="Open Sans"/>
          <w:kern w:val="0"/>
          <w:lang w:eastAsia="pl-PL"/>
          <w14:ligatures w14:val="none"/>
        </w:rPr>
        <w:t xml:space="preserve"> </w:t>
      </w:r>
      <w:r w:rsidR="006C09E0" w:rsidRPr="00FC2CA5">
        <w:rPr>
          <w:rFonts w:eastAsia="Times New Roman" w:cs="Open Sans"/>
          <w:kern w:val="0"/>
          <w:lang w:eastAsia="pl-PL"/>
          <w14:ligatures w14:val="none"/>
        </w:rPr>
        <w:t>np. pozostałych po poprzednich terapiach i</w:t>
      </w:r>
      <w:r w:rsidR="00DB6949" w:rsidRPr="00FC2CA5">
        <w:rPr>
          <w:rFonts w:eastAsia="Times New Roman" w:cs="Open Sans"/>
          <w:kern w:val="0"/>
          <w:lang w:eastAsia="pl-PL"/>
          <w14:ligatures w14:val="none"/>
        </w:rPr>
        <w:t xml:space="preserve"> nadużywanie leków przeciwdrobnoustrojowych dostępnych bez recepty</w:t>
      </w:r>
    </w:p>
    <w:p w14:paraId="0CF55A69" w14:textId="56292846" w:rsidR="00420D42" w:rsidRPr="00FC2CA5" w:rsidRDefault="00420D42" w:rsidP="00420D42">
      <w:pPr>
        <w:pStyle w:val="Bezodstpw"/>
        <w:numPr>
          <w:ilvl w:val="0"/>
          <w:numId w:val="14"/>
        </w:numPr>
        <w:spacing w:line="360" w:lineRule="auto"/>
        <w:rPr>
          <w:rFonts w:eastAsia="Times New Roman" w:cs="Open Sans"/>
          <w:kern w:val="0"/>
          <w:lang w:eastAsia="pl-PL"/>
          <w14:ligatures w14:val="none"/>
        </w:rPr>
      </w:pPr>
      <w:r w:rsidRPr="00FC2CA5">
        <w:rPr>
          <w:rFonts w:eastAsia="Times New Roman" w:cs="Open Sans"/>
          <w:kern w:val="0"/>
          <w:lang w:eastAsia="pl-PL"/>
          <w14:ligatures w14:val="none"/>
        </w:rPr>
        <w:t xml:space="preserve">stosowanie </w:t>
      </w:r>
      <w:r w:rsidR="00DB6949" w:rsidRPr="00FC2CA5">
        <w:rPr>
          <w:rFonts w:eastAsia="Times New Roman" w:cs="Open Sans"/>
          <w:kern w:val="0"/>
          <w:lang w:eastAsia="pl-PL"/>
          <w14:ligatures w14:val="none"/>
        </w:rPr>
        <w:t xml:space="preserve">antybiotyków </w:t>
      </w:r>
      <w:r w:rsidRPr="00FC2CA5">
        <w:rPr>
          <w:rFonts w:eastAsia="Times New Roman" w:cs="Open Sans"/>
          <w:kern w:val="0"/>
          <w:lang w:eastAsia="pl-PL"/>
          <w14:ligatures w14:val="none"/>
        </w:rPr>
        <w:t>niezgodne z zaleceniami lekarza – przer</w:t>
      </w:r>
      <w:r w:rsidR="00344132" w:rsidRPr="00FC2CA5">
        <w:rPr>
          <w:rFonts w:eastAsia="Times New Roman" w:cs="Open Sans"/>
          <w:kern w:val="0"/>
          <w:lang w:eastAsia="pl-PL"/>
          <w14:ligatures w14:val="none"/>
        </w:rPr>
        <w:t>y</w:t>
      </w:r>
      <w:r w:rsidRPr="00FC2CA5">
        <w:rPr>
          <w:rFonts w:eastAsia="Times New Roman" w:cs="Open Sans"/>
          <w:kern w:val="0"/>
          <w:lang w:eastAsia="pl-PL"/>
          <w14:ligatures w14:val="none"/>
        </w:rPr>
        <w:t>wanie leczenia lub niewłaściwe odstępy czasu między dawkami</w:t>
      </w:r>
      <w:r w:rsidR="00DB6949" w:rsidRPr="00FC2CA5">
        <w:rPr>
          <w:rFonts w:eastAsia="Times New Roman" w:cs="Open Sans"/>
          <w:kern w:val="0"/>
          <w:lang w:eastAsia="pl-PL"/>
          <w14:ligatures w14:val="none"/>
        </w:rPr>
        <w:t xml:space="preserve">. </w:t>
      </w:r>
    </w:p>
    <w:p w14:paraId="087B0C75" w14:textId="77777777" w:rsidR="00DB6949" w:rsidRPr="00FC2CA5" w:rsidRDefault="00DB6949" w:rsidP="00DB6949">
      <w:pPr>
        <w:pStyle w:val="Bezodstpw"/>
        <w:spacing w:line="360" w:lineRule="auto"/>
        <w:ind w:left="720"/>
        <w:rPr>
          <w:rFonts w:eastAsia="Times New Roman" w:cs="Open Sans"/>
          <w:kern w:val="0"/>
          <w:lang w:eastAsia="pl-PL"/>
          <w14:ligatures w14:val="none"/>
        </w:rPr>
      </w:pPr>
    </w:p>
    <w:p w14:paraId="6CF1FE25" w14:textId="26C3FB91" w:rsidR="004E6CD8" w:rsidRPr="00FC2CA5" w:rsidRDefault="00DB6949" w:rsidP="00420D42">
      <w:pPr>
        <w:pStyle w:val="Bezodstpw"/>
        <w:spacing w:line="360" w:lineRule="auto"/>
      </w:pPr>
      <w:r w:rsidRPr="00FC2CA5">
        <w:t xml:space="preserve">Drobnoustroje pod wpływem </w:t>
      </w:r>
      <w:r w:rsidR="006C09E0" w:rsidRPr="00FC2CA5">
        <w:t xml:space="preserve">obecnych w środowisku leków podlegają przemianom </w:t>
      </w:r>
      <w:r w:rsidR="004E6CD8" w:rsidRPr="00FC2CA5">
        <w:t>genetycznym</w:t>
      </w:r>
      <w:r w:rsidR="006C09E0" w:rsidRPr="00FC2CA5">
        <w:t xml:space="preserve"> tzw. mutacjom, których celem jest przeżycie mimo ekspozycji na czynnik toksyczny dla nich. Wytworzone mechanizmy oporności przez</w:t>
      </w:r>
      <w:r w:rsidR="008F26F5" w:rsidRPr="00FC2CA5">
        <w:t xml:space="preserve"> jed</w:t>
      </w:r>
      <w:r w:rsidR="006C09E0" w:rsidRPr="00FC2CA5">
        <w:t>e</w:t>
      </w:r>
      <w:r w:rsidR="008F26F5" w:rsidRPr="00FC2CA5">
        <w:t>n gatun</w:t>
      </w:r>
      <w:r w:rsidR="006C09E0" w:rsidRPr="00FC2CA5">
        <w:t>ek</w:t>
      </w:r>
      <w:r w:rsidR="008F26F5" w:rsidRPr="00FC2CA5">
        <w:t xml:space="preserve"> bakterii mogą </w:t>
      </w:r>
      <w:r w:rsidR="006C09E0" w:rsidRPr="00FC2CA5">
        <w:t xml:space="preserve">być przekazywane </w:t>
      </w:r>
      <w:r w:rsidR="008F26F5" w:rsidRPr="00FC2CA5">
        <w:t>inny</w:t>
      </w:r>
      <w:r w:rsidR="006C09E0" w:rsidRPr="00FC2CA5">
        <w:t xml:space="preserve">m </w:t>
      </w:r>
      <w:r w:rsidR="008F26F5" w:rsidRPr="00FC2CA5">
        <w:t>gatunk</w:t>
      </w:r>
      <w:r w:rsidR="006C09E0" w:rsidRPr="00FC2CA5">
        <w:t xml:space="preserve">om </w:t>
      </w:r>
      <w:r w:rsidR="008F26F5" w:rsidRPr="00FC2CA5">
        <w:t>bakterii w procesie wymiany materiału genetycznego</w:t>
      </w:r>
      <w:r w:rsidR="006C09E0" w:rsidRPr="00FC2CA5">
        <w:t xml:space="preserve">, co najczęściej dzieje się w organizmach zwierząt, ludzi oraz środowisku skażonym odchodami. </w:t>
      </w:r>
      <w:r w:rsidR="002621A0" w:rsidRPr="00FC2CA5">
        <w:t xml:space="preserve">Zasiedlające organizm bakterie </w:t>
      </w:r>
      <w:r w:rsidR="004E6CD8" w:rsidRPr="00FC2CA5">
        <w:t>oporne</w:t>
      </w:r>
      <w:r w:rsidR="002621A0" w:rsidRPr="00FC2CA5">
        <w:t xml:space="preserve"> mogą przenosić się na innych ludzi</w:t>
      </w:r>
      <w:r w:rsidR="00344132" w:rsidRPr="00FC2CA5">
        <w:t xml:space="preserve"> i zwierzęta</w:t>
      </w:r>
    </w:p>
    <w:p w14:paraId="027FA5BE" w14:textId="34011BBA" w:rsidR="000B3D61" w:rsidRPr="00FC2CA5" w:rsidRDefault="000B3D61" w:rsidP="00420D42">
      <w:pPr>
        <w:pStyle w:val="Bezodstpw"/>
        <w:spacing w:line="360" w:lineRule="auto"/>
      </w:pPr>
      <w:r w:rsidRPr="00FC2CA5">
        <w:t xml:space="preserve">W leczeniu </w:t>
      </w:r>
      <w:r w:rsidR="00344132" w:rsidRPr="00FC2CA5">
        <w:t>tych za</w:t>
      </w:r>
      <w:r w:rsidRPr="00FC2CA5">
        <w:t xml:space="preserve">każeń </w:t>
      </w:r>
      <w:r w:rsidR="00344132" w:rsidRPr="00FC2CA5">
        <w:t xml:space="preserve">często </w:t>
      </w:r>
      <w:r w:rsidRPr="00FC2CA5">
        <w:t>istnieje konieczność poszukiwania tzw. terapii ratunkowych</w:t>
      </w:r>
      <w:r w:rsidR="007E263B" w:rsidRPr="00FC2CA5">
        <w:t xml:space="preserve">. </w:t>
      </w:r>
      <w:r w:rsidRPr="00FC2CA5">
        <w:t>Nierzadko, w celu przełamania oporności drobnoustroju, niezbędne jest zastosowanie antybiotykoterapii złożonej</w:t>
      </w:r>
      <w:r w:rsidR="00344132" w:rsidRPr="00FC2CA5">
        <w:t xml:space="preserve">, a są już takie sytuacje gdy żaden z dostępnych antybiotyków nie jest skuteczny. </w:t>
      </w:r>
    </w:p>
    <w:p w14:paraId="68AE5BAD" w14:textId="77777777" w:rsidR="007B64ED" w:rsidRPr="00FC2CA5" w:rsidRDefault="007B64ED" w:rsidP="006B203E">
      <w:pPr>
        <w:pStyle w:val="Bezodstpw"/>
        <w:spacing w:line="360" w:lineRule="auto"/>
        <w:rPr>
          <w:rFonts w:eastAsia="Times New Roman" w:cs="Open Sans"/>
          <w:b/>
          <w:bCs/>
          <w:kern w:val="0"/>
          <w:lang w:eastAsia="pl-PL"/>
          <w14:ligatures w14:val="none"/>
        </w:rPr>
      </w:pPr>
      <w:bookmarkStart w:id="1" w:name="_Hlk213150124"/>
    </w:p>
    <w:p w14:paraId="0B6493B4" w14:textId="77777777" w:rsidR="007B64ED" w:rsidRPr="00FC2CA5" w:rsidRDefault="007B64ED" w:rsidP="006B203E">
      <w:pPr>
        <w:pStyle w:val="Bezodstpw"/>
        <w:spacing w:line="360" w:lineRule="auto"/>
        <w:rPr>
          <w:rFonts w:eastAsia="Times New Roman" w:cs="Open Sans"/>
          <w:b/>
          <w:bCs/>
          <w:kern w:val="0"/>
          <w:lang w:eastAsia="pl-PL"/>
          <w14:ligatures w14:val="none"/>
        </w:rPr>
      </w:pPr>
    </w:p>
    <w:p w14:paraId="446C9A72" w14:textId="03FFE799" w:rsidR="000B3D61" w:rsidRPr="00FC2CA5" w:rsidRDefault="000B3D61" w:rsidP="006B203E">
      <w:pPr>
        <w:pStyle w:val="Bezodstpw"/>
        <w:spacing w:line="360" w:lineRule="auto"/>
        <w:rPr>
          <w:rFonts w:eastAsia="Times New Roman" w:cs="Open Sans"/>
          <w:kern w:val="0"/>
          <w:lang w:eastAsia="pl-PL"/>
          <w14:ligatures w14:val="none"/>
        </w:rPr>
      </w:pPr>
      <w:r w:rsidRPr="00FC2CA5">
        <w:rPr>
          <w:rFonts w:eastAsia="Times New Roman" w:cs="Open Sans"/>
          <w:b/>
          <w:bCs/>
          <w:kern w:val="0"/>
          <w:lang w:eastAsia="pl-PL"/>
          <w14:ligatures w14:val="none"/>
        </w:rPr>
        <w:lastRenderedPageBreak/>
        <w:t xml:space="preserve">Konsekwencje oporności na antybiotyki </w:t>
      </w:r>
      <w:r w:rsidR="000A336C" w:rsidRPr="00FC2CA5">
        <w:rPr>
          <w:rFonts w:eastAsia="Times New Roman" w:cs="Open Sans"/>
          <w:b/>
          <w:bCs/>
          <w:kern w:val="0"/>
          <w:lang w:eastAsia="pl-PL"/>
          <w14:ligatures w14:val="none"/>
        </w:rPr>
        <w:t>mają</w:t>
      </w:r>
      <w:r w:rsidRPr="00FC2CA5">
        <w:rPr>
          <w:rFonts w:eastAsia="Times New Roman" w:cs="Open Sans"/>
          <w:b/>
          <w:bCs/>
          <w:kern w:val="0"/>
          <w:lang w:eastAsia="pl-PL"/>
          <w14:ligatures w14:val="none"/>
        </w:rPr>
        <w:t xml:space="preserve"> wymiar zdrowotny, społeczny i gospodarczy</w:t>
      </w:r>
      <w:r w:rsidRPr="00FC2CA5">
        <w:rPr>
          <w:rFonts w:eastAsia="Times New Roman" w:cs="Open Sans"/>
          <w:kern w:val="0"/>
          <w:lang w:eastAsia="pl-PL"/>
          <w14:ligatures w14:val="none"/>
        </w:rPr>
        <w:t>:</w:t>
      </w:r>
    </w:p>
    <w:p w14:paraId="156DDBC9" w14:textId="076C8049" w:rsidR="000B3D61" w:rsidRPr="00FC2CA5" w:rsidRDefault="000B3D61" w:rsidP="006B203E">
      <w:pPr>
        <w:pStyle w:val="Bezodstpw"/>
        <w:numPr>
          <w:ilvl w:val="0"/>
          <w:numId w:val="11"/>
        </w:numPr>
        <w:spacing w:line="360" w:lineRule="auto"/>
        <w:rPr>
          <w:rFonts w:eastAsia="Times New Roman" w:cs="Open Sans"/>
          <w:kern w:val="0"/>
          <w:lang w:eastAsia="pl-PL"/>
          <w14:ligatures w14:val="none"/>
        </w:rPr>
      </w:pPr>
      <w:r w:rsidRPr="00FC2CA5">
        <w:rPr>
          <w:rFonts w:eastAsia="Times New Roman" w:cs="Open Sans"/>
          <w:kern w:val="0"/>
          <w:lang w:eastAsia="pl-PL"/>
          <w14:ligatures w14:val="none"/>
        </w:rPr>
        <w:t xml:space="preserve">infekcje </w:t>
      </w:r>
      <w:r w:rsidR="000A336C" w:rsidRPr="00FC2CA5">
        <w:rPr>
          <w:rFonts w:eastAsia="Times New Roman" w:cs="Open Sans"/>
          <w:kern w:val="0"/>
          <w:lang w:eastAsia="pl-PL"/>
          <w14:ligatures w14:val="none"/>
        </w:rPr>
        <w:t>stają</w:t>
      </w:r>
      <w:r w:rsidRPr="00FC2CA5">
        <w:rPr>
          <w:rFonts w:eastAsia="Times New Roman" w:cs="Open Sans"/>
          <w:kern w:val="0"/>
          <w:lang w:eastAsia="pl-PL"/>
          <w14:ligatures w14:val="none"/>
        </w:rPr>
        <w:t xml:space="preserve"> się trudne lub niemożliwe do wyleczenia </w:t>
      </w:r>
      <w:r w:rsidR="000A336C" w:rsidRPr="00FC2CA5">
        <w:rPr>
          <w:rFonts w:eastAsia="Times New Roman" w:cs="Open Sans"/>
          <w:kern w:val="0"/>
          <w:lang w:eastAsia="pl-PL"/>
          <w14:ligatures w14:val="none"/>
        </w:rPr>
        <w:t xml:space="preserve">i mogą </w:t>
      </w:r>
      <w:r w:rsidRPr="00FC2CA5">
        <w:rPr>
          <w:rFonts w:eastAsia="Times New Roman" w:cs="Open Sans"/>
          <w:kern w:val="0"/>
          <w:lang w:eastAsia="pl-PL"/>
          <w14:ligatures w14:val="none"/>
        </w:rPr>
        <w:t>powodować poważne powikłania a nawet śmierć,</w:t>
      </w:r>
    </w:p>
    <w:p w14:paraId="329575BA" w14:textId="6E762C2A" w:rsidR="000B3D61" w:rsidRPr="00FC2CA5" w:rsidRDefault="006B203E" w:rsidP="006B203E">
      <w:pPr>
        <w:pStyle w:val="Bezodstpw"/>
        <w:numPr>
          <w:ilvl w:val="0"/>
          <w:numId w:val="11"/>
        </w:numPr>
        <w:spacing w:line="360" w:lineRule="auto"/>
        <w:rPr>
          <w:rFonts w:eastAsia="Times New Roman" w:cs="Open Sans"/>
          <w:kern w:val="0"/>
          <w:lang w:eastAsia="pl-PL"/>
          <w14:ligatures w14:val="none"/>
        </w:rPr>
      </w:pPr>
      <w:r w:rsidRPr="00FC2CA5">
        <w:rPr>
          <w:rFonts w:eastAsia="Times New Roman" w:cs="Open Sans"/>
          <w:kern w:val="0"/>
          <w:lang w:eastAsia="pl-PL"/>
          <w14:ligatures w14:val="none"/>
        </w:rPr>
        <w:t>rośnie</w:t>
      </w:r>
      <w:r w:rsidR="000B3D61" w:rsidRPr="00FC2CA5">
        <w:rPr>
          <w:rFonts w:eastAsia="Times New Roman" w:cs="Open Sans"/>
          <w:kern w:val="0"/>
          <w:lang w:eastAsia="pl-PL"/>
          <w14:ligatures w14:val="none"/>
        </w:rPr>
        <w:t xml:space="preserve"> liczb</w:t>
      </w:r>
      <w:r w:rsidRPr="00FC2CA5">
        <w:rPr>
          <w:rFonts w:eastAsia="Times New Roman" w:cs="Open Sans"/>
          <w:kern w:val="0"/>
          <w:lang w:eastAsia="pl-PL"/>
          <w14:ligatures w14:val="none"/>
        </w:rPr>
        <w:t>a</w:t>
      </w:r>
      <w:r w:rsidR="000B3D61" w:rsidRPr="00FC2CA5">
        <w:rPr>
          <w:rFonts w:eastAsia="Times New Roman" w:cs="Open Sans"/>
          <w:kern w:val="0"/>
          <w:lang w:eastAsia="pl-PL"/>
          <w14:ligatures w14:val="none"/>
        </w:rPr>
        <w:t xml:space="preserve"> pacjentów z trudnymi do leczenia infekcjami</w:t>
      </w:r>
      <w:r w:rsidRPr="00FC2CA5">
        <w:rPr>
          <w:rFonts w:eastAsia="Times New Roman" w:cs="Open Sans"/>
          <w:kern w:val="0"/>
          <w:lang w:eastAsia="pl-PL"/>
          <w14:ligatures w14:val="none"/>
        </w:rPr>
        <w:t>,</w:t>
      </w:r>
      <w:r w:rsidR="00420D42" w:rsidRPr="00FC2CA5">
        <w:rPr>
          <w:rFonts w:eastAsia="Times New Roman" w:cs="Open Sans"/>
          <w:kern w:val="0"/>
          <w:lang w:eastAsia="pl-PL"/>
          <w14:ligatures w14:val="none"/>
        </w:rPr>
        <w:t xml:space="preserve"> </w:t>
      </w:r>
      <w:r w:rsidRPr="00FC2CA5">
        <w:rPr>
          <w:rFonts w:eastAsia="Times New Roman" w:cs="Open Sans"/>
          <w:kern w:val="0"/>
          <w:lang w:eastAsia="pl-PL"/>
          <w14:ligatures w14:val="none"/>
        </w:rPr>
        <w:t>co</w:t>
      </w:r>
      <w:r w:rsidR="000B3D61" w:rsidRPr="00FC2CA5">
        <w:rPr>
          <w:rFonts w:eastAsia="Times New Roman" w:cs="Open Sans"/>
          <w:kern w:val="0"/>
          <w:lang w:eastAsia="pl-PL"/>
          <w14:ligatures w14:val="none"/>
        </w:rPr>
        <w:t xml:space="preserve"> powoduje obciążenie systemu opieki zdrowotnej i zwiększ</w:t>
      </w:r>
      <w:r w:rsidR="000A336C" w:rsidRPr="00FC2CA5">
        <w:rPr>
          <w:rFonts w:eastAsia="Times New Roman" w:cs="Open Sans"/>
          <w:kern w:val="0"/>
          <w:lang w:eastAsia="pl-PL"/>
          <w14:ligatures w14:val="none"/>
        </w:rPr>
        <w:t>a</w:t>
      </w:r>
      <w:r w:rsidR="000B3D61" w:rsidRPr="00FC2CA5">
        <w:rPr>
          <w:rFonts w:eastAsia="Times New Roman" w:cs="Open Sans"/>
          <w:kern w:val="0"/>
          <w:lang w:eastAsia="pl-PL"/>
          <w14:ligatures w14:val="none"/>
        </w:rPr>
        <w:t xml:space="preserve"> zapotrzebowanie na</w:t>
      </w:r>
      <w:r w:rsidR="006A2CCE" w:rsidRPr="00FC2CA5">
        <w:rPr>
          <w:rFonts w:eastAsia="Times New Roman" w:cs="Open Sans"/>
          <w:kern w:val="0"/>
          <w:lang w:eastAsia="pl-PL"/>
          <w14:ligatures w14:val="none"/>
        </w:rPr>
        <w:t xml:space="preserve"> opiekę</w:t>
      </w:r>
      <w:r w:rsidR="000B3D61" w:rsidRPr="00FC2CA5">
        <w:rPr>
          <w:rFonts w:eastAsia="Times New Roman" w:cs="Open Sans"/>
          <w:kern w:val="0"/>
          <w:lang w:eastAsia="pl-PL"/>
          <w14:ligatures w14:val="none"/>
        </w:rPr>
        <w:t xml:space="preserve"> specjalistyczną,</w:t>
      </w:r>
    </w:p>
    <w:p w14:paraId="0E748B76" w14:textId="333EA6AE" w:rsidR="00A01EB2" w:rsidRPr="00FC2CA5" w:rsidRDefault="000B3D61" w:rsidP="006B203E">
      <w:pPr>
        <w:pStyle w:val="Bezodstpw"/>
        <w:numPr>
          <w:ilvl w:val="0"/>
          <w:numId w:val="11"/>
        </w:numPr>
        <w:spacing w:line="360" w:lineRule="auto"/>
      </w:pPr>
      <w:r w:rsidRPr="00FC2CA5">
        <w:rPr>
          <w:rFonts w:eastAsia="Times New Roman" w:cs="Open Sans"/>
          <w:kern w:val="0"/>
          <w:lang w:eastAsia="pl-PL"/>
          <w14:ligatures w14:val="none"/>
        </w:rPr>
        <w:t xml:space="preserve">dłuższe pobyty w szpitalu, wyższe koszty opieki zdrowotnej i mniejsza aktywność z powodu choroby, a nawet przedwczesnej śmierci, </w:t>
      </w:r>
      <w:r w:rsidR="000A336C" w:rsidRPr="00FC2CA5">
        <w:rPr>
          <w:rFonts w:eastAsia="Times New Roman" w:cs="Open Sans"/>
          <w:kern w:val="0"/>
          <w:lang w:eastAsia="pl-PL"/>
          <w14:ligatures w14:val="none"/>
        </w:rPr>
        <w:t>mają</w:t>
      </w:r>
      <w:r w:rsidRPr="00FC2CA5">
        <w:rPr>
          <w:rFonts w:eastAsia="Times New Roman" w:cs="Open Sans"/>
          <w:kern w:val="0"/>
          <w:lang w:eastAsia="pl-PL"/>
          <w14:ligatures w14:val="none"/>
        </w:rPr>
        <w:t xml:space="preserve"> negatywny wpływ na jednostki, rodziny i </w:t>
      </w:r>
      <w:r w:rsidR="009B5384" w:rsidRPr="00FC2CA5">
        <w:rPr>
          <w:rFonts w:eastAsia="Times New Roman" w:cs="Open Sans"/>
          <w:kern w:val="0"/>
          <w:lang w:eastAsia="pl-PL"/>
          <w14:ligatures w14:val="none"/>
        </w:rPr>
        <w:t xml:space="preserve">całe </w:t>
      </w:r>
      <w:r w:rsidRPr="00FC2CA5">
        <w:rPr>
          <w:rFonts w:eastAsia="Times New Roman" w:cs="Open Sans"/>
          <w:kern w:val="0"/>
          <w:lang w:eastAsia="pl-PL"/>
          <w14:ligatures w14:val="none"/>
        </w:rPr>
        <w:t>społeczeństwo</w:t>
      </w:r>
      <w:r w:rsidR="000A336C" w:rsidRPr="00FC2CA5">
        <w:rPr>
          <w:rFonts w:eastAsia="Times New Roman" w:cs="Open Sans"/>
          <w:kern w:val="0"/>
          <w:lang w:eastAsia="pl-PL"/>
          <w14:ligatures w14:val="none"/>
        </w:rPr>
        <w:t xml:space="preserve">. </w:t>
      </w:r>
    </w:p>
    <w:bookmarkEnd w:id="1"/>
    <w:p w14:paraId="40A0CFA9" w14:textId="2A7EA977" w:rsidR="007E263B" w:rsidRPr="00FC2CA5" w:rsidRDefault="007E263B" w:rsidP="007E263B">
      <w:pPr>
        <w:pStyle w:val="Bezodstpw"/>
        <w:spacing w:line="360" w:lineRule="auto"/>
      </w:pPr>
      <w:r w:rsidRPr="00FC2CA5">
        <w:rPr>
          <w:shd w:val="clear" w:color="auto" w:fill="FFFFFF"/>
        </w:rPr>
        <w:t>Szacuje się, że w 2021 r. oporność bakteryjna była bezpośrednią przyczyną 1,14 miliona zgonów i przyczyniła się do 4,71 miliona zgonów na świecie</w:t>
      </w:r>
      <w:r w:rsidR="005578EA" w:rsidRPr="00FC2CA5">
        <w:rPr>
          <w:rStyle w:val="Odwoanieprzypisudolnego"/>
          <w:shd w:val="clear" w:color="auto" w:fill="FFFFFF"/>
        </w:rPr>
        <w:footnoteReference w:id="1"/>
      </w:r>
      <w:r w:rsidRPr="00FC2CA5">
        <w:rPr>
          <w:shd w:val="clear" w:color="auto" w:fill="FFFFFF"/>
        </w:rPr>
        <w:t>.</w:t>
      </w:r>
      <w:r w:rsidR="008F26F5" w:rsidRPr="00FC2CA5">
        <w:t xml:space="preserve"> Jeśli działania prewencyjne nie zostaną zintensyfikowane – statystyki te mogą się podwoić w ciągu kilku lat.</w:t>
      </w:r>
    </w:p>
    <w:p w14:paraId="7ADAF089" w14:textId="092DE46D" w:rsidR="008F26F5" w:rsidRPr="00FC2CA5" w:rsidRDefault="008F26F5" w:rsidP="007E263B">
      <w:pPr>
        <w:pStyle w:val="Bezodstpw"/>
        <w:spacing w:line="360" w:lineRule="auto"/>
        <w:rPr>
          <w:b/>
          <w:bCs/>
        </w:rPr>
      </w:pPr>
      <w:r w:rsidRPr="00FC2CA5">
        <w:rPr>
          <w:b/>
          <w:bCs/>
        </w:rPr>
        <w:t>Racjonalne stosowanie antybiotyków</w:t>
      </w:r>
      <w:r w:rsidR="000A336C" w:rsidRPr="00FC2CA5">
        <w:rPr>
          <w:b/>
          <w:bCs/>
        </w:rPr>
        <w:t xml:space="preserve"> i kontrola zakażeń</w:t>
      </w:r>
    </w:p>
    <w:p w14:paraId="3C4AB8DF" w14:textId="22441E3C" w:rsidR="008F26F5" w:rsidRPr="00FC2CA5" w:rsidRDefault="008F26F5" w:rsidP="006B203E">
      <w:pPr>
        <w:spacing w:after="0" w:line="360" w:lineRule="auto"/>
      </w:pPr>
      <w:r w:rsidRPr="00FC2CA5">
        <w:t>Antybiotyki działają tylko na bakterie – nie leczą infekcji wirusowych takich jak grypa, RSV czy COVID-19. Każdy pacjent powinien stosować antybiotyk wyłącznie w przypadku potwierdzonego lub wysoko prawdopodobnego zakażenia bakteryjnego, zgodnie z zaleceniami lekarza</w:t>
      </w:r>
      <w:r w:rsidR="006A2CCE" w:rsidRPr="00FC2CA5">
        <w:t xml:space="preserve"> -</w:t>
      </w:r>
      <w:r w:rsidRPr="00FC2CA5">
        <w:t xml:space="preserve"> w odpowiednich dawkach i czasie trwania terapii.</w:t>
      </w:r>
    </w:p>
    <w:p w14:paraId="19A31BA8" w14:textId="77777777" w:rsidR="008F26F5" w:rsidRPr="00FC2CA5" w:rsidRDefault="008F26F5" w:rsidP="006B203E">
      <w:pPr>
        <w:spacing w:after="0" w:line="360" w:lineRule="auto"/>
      </w:pPr>
      <w:r w:rsidRPr="00FC2CA5">
        <w:t>Pacjenci nie powinni:</w:t>
      </w:r>
    </w:p>
    <w:p w14:paraId="2168AAF0" w14:textId="2DEFB233" w:rsidR="008F26F5" w:rsidRPr="00FC2CA5" w:rsidRDefault="008F26F5" w:rsidP="006B203E">
      <w:pPr>
        <w:pStyle w:val="Akapitzlist"/>
        <w:numPr>
          <w:ilvl w:val="0"/>
          <w:numId w:val="7"/>
        </w:numPr>
        <w:spacing w:after="0" w:line="360" w:lineRule="auto"/>
      </w:pPr>
      <w:r w:rsidRPr="00FC2CA5">
        <w:t>sięgać po antybiotyki pozostałe po wcześniejszym leczeniu,</w:t>
      </w:r>
    </w:p>
    <w:p w14:paraId="477287CA" w14:textId="77777777" w:rsidR="008F26F5" w:rsidRPr="00FC2CA5" w:rsidRDefault="008F26F5" w:rsidP="006B203E">
      <w:pPr>
        <w:pStyle w:val="Akapitzlist"/>
        <w:numPr>
          <w:ilvl w:val="0"/>
          <w:numId w:val="7"/>
        </w:numPr>
        <w:spacing w:after="0" w:line="360" w:lineRule="auto"/>
      </w:pPr>
      <w:r w:rsidRPr="00FC2CA5">
        <w:t>przerywać kuracji przy pierwszej poprawie,</w:t>
      </w:r>
    </w:p>
    <w:p w14:paraId="0FD0189E" w14:textId="77777777" w:rsidR="008F26F5" w:rsidRPr="00FC2CA5" w:rsidRDefault="008F26F5" w:rsidP="006B203E">
      <w:pPr>
        <w:pStyle w:val="Akapitzlist"/>
        <w:numPr>
          <w:ilvl w:val="0"/>
          <w:numId w:val="7"/>
        </w:numPr>
        <w:spacing w:after="0" w:line="360" w:lineRule="auto"/>
      </w:pPr>
      <w:r w:rsidRPr="00FC2CA5">
        <w:t>dzielić się antybiotykiem z innymi osobami.</w:t>
      </w:r>
    </w:p>
    <w:p w14:paraId="3D4D1CC5" w14:textId="78104C5C" w:rsidR="008F26F5" w:rsidRPr="00FC2CA5" w:rsidRDefault="008F26F5" w:rsidP="006B203E">
      <w:pPr>
        <w:spacing w:after="0" w:line="360" w:lineRule="auto"/>
      </w:pPr>
      <w:r w:rsidRPr="00FC2CA5">
        <w:t xml:space="preserve">Niezwykle istotna jest również </w:t>
      </w:r>
      <w:r w:rsidR="00FB5A4F" w:rsidRPr="00FC2CA5">
        <w:t>asertywna</w:t>
      </w:r>
      <w:r w:rsidRPr="00FC2CA5">
        <w:t xml:space="preserve"> postawa lekarzy: decyzja o przepisaniu antybiotyku powinna wynikać z analizy danych klinicznych, wytycznych i dostępnej diagnostyki, a nie z presji pacjenta. Zjawisko „wymuszania recepty na antybiotyk” przy infekcjach, które są prawdopodobnie wirusowe, pozostaje jednym z czynników napędzających oporność.</w:t>
      </w:r>
    </w:p>
    <w:p w14:paraId="703E0284" w14:textId="77777777" w:rsidR="008F26F5" w:rsidRPr="00FC2CA5" w:rsidRDefault="008F26F5" w:rsidP="006B203E">
      <w:pPr>
        <w:spacing w:after="0" w:line="360" w:lineRule="auto"/>
      </w:pPr>
      <w:r w:rsidRPr="00FC2CA5">
        <w:t>Drugim filarem ograniczania oporności są wszystkie działania redukujące transmisję drobnoustrojów:</w:t>
      </w:r>
    </w:p>
    <w:p w14:paraId="39061397" w14:textId="77777777" w:rsidR="008F26F5" w:rsidRPr="00FC2CA5" w:rsidRDefault="008F26F5" w:rsidP="006B203E">
      <w:pPr>
        <w:pStyle w:val="Akapitzlist"/>
        <w:numPr>
          <w:ilvl w:val="0"/>
          <w:numId w:val="8"/>
        </w:numPr>
        <w:spacing w:after="0" w:line="360" w:lineRule="auto"/>
      </w:pPr>
      <w:r w:rsidRPr="00FC2CA5">
        <w:t>badania przesiewowe,</w:t>
      </w:r>
    </w:p>
    <w:p w14:paraId="392A5E06" w14:textId="77777777" w:rsidR="008F26F5" w:rsidRPr="00FC2CA5" w:rsidRDefault="008F26F5" w:rsidP="006B203E">
      <w:pPr>
        <w:pStyle w:val="Akapitzlist"/>
        <w:numPr>
          <w:ilvl w:val="0"/>
          <w:numId w:val="8"/>
        </w:numPr>
        <w:spacing w:after="0" w:line="360" w:lineRule="auto"/>
      </w:pPr>
      <w:r w:rsidRPr="00FC2CA5">
        <w:t xml:space="preserve">izolacja pacjentów zakażonych </w:t>
      </w:r>
      <w:proofErr w:type="spellStart"/>
      <w:r w:rsidRPr="00FC2CA5">
        <w:t>wieloopornymi</w:t>
      </w:r>
      <w:proofErr w:type="spellEnd"/>
      <w:r w:rsidRPr="00FC2CA5">
        <w:t xml:space="preserve"> bakteriami,</w:t>
      </w:r>
    </w:p>
    <w:p w14:paraId="2965E1AD" w14:textId="77777777" w:rsidR="008F26F5" w:rsidRPr="00FC2CA5" w:rsidRDefault="008F26F5" w:rsidP="006B203E">
      <w:pPr>
        <w:pStyle w:val="Akapitzlist"/>
        <w:numPr>
          <w:ilvl w:val="0"/>
          <w:numId w:val="8"/>
        </w:numPr>
        <w:spacing w:after="0" w:line="360" w:lineRule="auto"/>
      </w:pPr>
      <w:r w:rsidRPr="00FC2CA5">
        <w:t>przestrzeganie reżimów sanitarnych w placówkach ochrony zdrowia,</w:t>
      </w:r>
    </w:p>
    <w:p w14:paraId="448F66FD" w14:textId="77777777" w:rsidR="008F26F5" w:rsidRPr="00FC2CA5" w:rsidRDefault="008F26F5" w:rsidP="006B203E">
      <w:pPr>
        <w:pStyle w:val="Akapitzlist"/>
        <w:numPr>
          <w:ilvl w:val="0"/>
          <w:numId w:val="8"/>
        </w:numPr>
        <w:spacing w:after="0" w:line="360" w:lineRule="auto"/>
      </w:pPr>
      <w:r w:rsidRPr="00FC2CA5">
        <w:t>racjonalne stosowanie antybiotyków również u zwierząt gospodarskich i w produkcji żywności.</w:t>
      </w:r>
    </w:p>
    <w:p w14:paraId="26C05061" w14:textId="6803AE5F" w:rsidR="008F26F5" w:rsidRPr="00FC2CA5" w:rsidRDefault="008F26F5" w:rsidP="006B203E">
      <w:pPr>
        <w:spacing w:after="0" w:line="360" w:lineRule="auto"/>
        <w:rPr>
          <w:b/>
          <w:bCs/>
        </w:rPr>
      </w:pPr>
      <w:r w:rsidRPr="00FC2CA5">
        <w:rPr>
          <w:b/>
          <w:bCs/>
        </w:rPr>
        <w:t>Rola szczepień</w:t>
      </w:r>
      <w:r w:rsidR="002E356F" w:rsidRPr="00FC2CA5">
        <w:rPr>
          <w:b/>
          <w:bCs/>
        </w:rPr>
        <w:t xml:space="preserve"> ochronnych</w:t>
      </w:r>
      <w:r w:rsidRPr="00FC2CA5">
        <w:rPr>
          <w:b/>
          <w:bCs/>
        </w:rPr>
        <w:t xml:space="preserve"> i wzmacniania odporności</w:t>
      </w:r>
    </w:p>
    <w:p w14:paraId="3AD86B10" w14:textId="2ED859B6" w:rsidR="008F26F5" w:rsidRPr="00FC2CA5" w:rsidRDefault="008F26F5" w:rsidP="006B203E">
      <w:pPr>
        <w:spacing w:after="0" w:line="360" w:lineRule="auto"/>
      </w:pPr>
      <w:r w:rsidRPr="00FC2CA5">
        <w:t xml:space="preserve">Szczepienia ochronne są ważnym narzędziem ograniczania </w:t>
      </w:r>
      <w:r w:rsidR="00FB5A4F" w:rsidRPr="00FC2CA5">
        <w:t>antybiotykoodporności</w:t>
      </w:r>
      <w:r w:rsidRPr="00FC2CA5">
        <w:t>, ponieważ:</w:t>
      </w:r>
    </w:p>
    <w:p w14:paraId="1B9005C7" w14:textId="77777777" w:rsidR="008F26F5" w:rsidRPr="00FC2CA5" w:rsidRDefault="008F26F5" w:rsidP="006B203E">
      <w:pPr>
        <w:pStyle w:val="Akapitzlist"/>
        <w:numPr>
          <w:ilvl w:val="0"/>
          <w:numId w:val="9"/>
        </w:numPr>
        <w:spacing w:after="0" w:line="360" w:lineRule="auto"/>
      </w:pPr>
      <w:r w:rsidRPr="00FC2CA5">
        <w:lastRenderedPageBreak/>
        <w:t>zapobiegają chorobom, które mogłyby wymagać antybiotykoterapii,</w:t>
      </w:r>
    </w:p>
    <w:p w14:paraId="7F3A6946" w14:textId="77777777" w:rsidR="008F26F5" w:rsidRPr="00FC2CA5" w:rsidRDefault="008F26F5" w:rsidP="006B203E">
      <w:pPr>
        <w:pStyle w:val="Akapitzlist"/>
        <w:numPr>
          <w:ilvl w:val="0"/>
          <w:numId w:val="9"/>
        </w:numPr>
        <w:spacing w:after="0" w:line="360" w:lineRule="auto"/>
      </w:pPr>
      <w:r w:rsidRPr="00FC2CA5">
        <w:t>zmniejszają ryzyko powikłań bakteryjnych po chorobach wirusowych (np. po grypie),</w:t>
      </w:r>
    </w:p>
    <w:p w14:paraId="7EE5954B" w14:textId="77777777" w:rsidR="008F26F5" w:rsidRPr="00FC2CA5" w:rsidRDefault="008F26F5" w:rsidP="006B203E">
      <w:pPr>
        <w:pStyle w:val="Akapitzlist"/>
        <w:numPr>
          <w:ilvl w:val="0"/>
          <w:numId w:val="9"/>
        </w:numPr>
        <w:spacing w:after="0" w:line="360" w:lineRule="auto"/>
      </w:pPr>
      <w:r w:rsidRPr="00FC2CA5">
        <w:t>ograniczają krążenie patogenów w populacji i transmisję wrażliwych i opornych szczepów.</w:t>
      </w:r>
    </w:p>
    <w:p w14:paraId="3D628196" w14:textId="21D8187E" w:rsidR="00420D42" w:rsidRPr="00FC2CA5" w:rsidRDefault="008F26F5" w:rsidP="006B203E">
      <w:pPr>
        <w:pStyle w:val="Bezodstpw"/>
        <w:spacing w:line="360" w:lineRule="auto"/>
      </w:pPr>
      <w:r w:rsidRPr="00FC2CA5">
        <w:t xml:space="preserve">Wzmacnianie odporności populacyjnej – zarówno poprzez szczepienia, jak i przez </w:t>
      </w:r>
      <w:r w:rsidR="007B64ED" w:rsidRPr="00FC2CA5">
        <w:t xml:space="preserve">zdrowy </w:t>
      </w:r>
      <w:r w:rsidRPr="00FC2CA5">
        <w:t xml:space="preserve">styl życia (aktywność fizyczna, prawidłowe odżywianie, higiena snu, unikanie </w:t>
      </w:r>
      <w:r w:rsidR="006B203E" w:rsidRPr="00FC2CA5">
        <w:t xml:space="preserve">alkoholu i </w:t>
      </w:r>
      <w:r w:rsidRPr="00FC2CA5">
        <w:t>palenia</w:t>
      </w:r>
      <w:r w:rsidR="006B203E" w:rsidRPr="00FC2CA5">
        <w:t xml:space="preserve"> tytoniu</w:t>
      </w:r>
      <w:r w:rsidRPr="00FC2CA5">
        <w:t>) – zmniejsza występowanie infekcji, a więc redukuje liczbę sytuacji, w których antybiotyk w ogóle może być potrzebny.</w:t>
      </w:r>
      <w:r w:rsidR="006B203E" w:rsidRPr="00FC2CA5">
        <w:t xml:space="preserve"> </w:t>
      </w:r>
    </w:p>
    <w:p w14:paraId="63BB4AB2" w14:textId="77777777" w:rsidR="00FB5A4F" w:rsidRPr="00FC2CA5" w:rsidRDefault="006B203E" w:rsidP="008745E6">
      <w:pPr>
        <w:pStyle w:val="Bezodstpw"/>
        <w:spacing w:line="360" w:lineRule="auto"/>
        <w:rPr>
          <w:shd w:val="clear" w:color="auto" w:fill="FFFFFF"/>
        </w:rPr>
      </w:pPr>
      <w:r w:rsidRPr="00FC2CA5">
        <w:rPr>
          <w:shd w:val="clear" w:color="auto" w:fill="FFFFFF"/>
        </w:rPr>
        <w:t>Walka z opornością na antybiotyki wpisuje się w założenia globalnej strategii </w:t>
      </w:r>
      <w:r w:rsidRPr="00FC2CA5"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  <w:t xml:space="preserve">„One </w:t>
      </w:r>
      <w:proofErr w:type="spellStart"/>
      <w:r w:rsidRPr="00FC2CA5"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  <w:t>Health</w:t>
      </w:r>
      <w:proofErr w:type="spellEnd"/>
      <w:r w:rsidRPr="00FC2CA5"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  <w:t>” </w:t>
      </w:r>
      <w:r w:rsidRPr="00FC2CA5">
        <w:rPr>
          <w:shd w:val="clear" w:color="auto" w:fill="FFFFFF"/>
        </w:rPr>
        <w:t>(„Jedno zdrowie”), która uznaje, że zdrowie ludzi, zwierząt, roślin i środowiska naturalnego</w:t>
      </w:r>
      <w:r w:rsidR="00FB5A4F" w:rsidRPr="00FC2CA5">
        <w:rPr>
          <w:shd w:val="clear" w:color="auto" w:fill="FFFFFF"/>
        </w:rPr>
        <w:t xml:space="preserve"> są</w:t>
      </w:r>
      <w:r w:rsidRPr="00FC2CA5">
        <w:rPr>
          <w:shd w:val="clear" w:color="auto" w:fill="FFFFFF"/>
        </w:rPr>
        <w:t xml:space="preserve"> ze sobą ściśle powiązane. Działania na rzecz racjonalnego </w:t>
      </w:r>
      <w:r w:rsidR="008745E6" w:rsidRPr="00FC2CA5">
        <w:rPr>
          <w:shd w:val="clear" w:color="auto" w:fill="FFFFFF"/>
        </w:rPr>
        <w:t>s</w:t>
      </w:r>
      <w:r w:rsidRPr="00FC2CA5">
        <w:rPr>
          <w:shd w:val="clear" w:color="auto" w:fill="FFFFFF"/>
        </w:rPr>
        <w:t>tosowania antybiotyków muszą więc obejmować nie tylko sektor ochrony zdrowia, ale także weterynarię, rolnictwo, ochronę środowiska i administrację publiczną.</w:t>
      </w:r>
      <w:r w:rsidR="008745E6" w:rsidRPr="00FC2CA5">
        <w:rPr>
          <w:shd w:val="clear" w:color="auto" w:fill="FFFFFF"/>
        </w:rPr>
        <w:t xml:space="preserve"> </w:t>
      </w:r>
    </w:p>
    <w:p w14:paraId="5CF30EBD" w14:textId="6F427625" w:rsidR="006B203E" w:rsidRPr="00FC2CA5" w:rsidRDefault="006B203E" w:rsidP="008745E6">
      <w:pPr>
        <w:pStyle w:val="Bezodstpw"/>
        <w:spacing w:line="360" w:lineRule="auto"/>
      </w:pPr>
      <w:r w:rsidRPr="00FC2CA5">
        <w:rPr>
          <w:rFonts w:cs="Open Sans"/>
          <w:shd w:val="clear" w:color="auto" w:fill="FFFFFF"/>
        </w:rPr>
        <w:t>Więcej informacji można uzyskać na</w:t>
      </w:r>
      <w:r w:rsidR="008745E6" w:rsidRPr="00FC2CA5">
        <w:rPr>
          <w:rFonts w:cs="Open Sans"/>
          <w:shd w:val="clear" w:color="auto" w:fill="FFFFFF"/>
        </w:rPr>
        <w:t xml:space="preserve"> s</w:t>
      </w:r>
      <w:r w:rsidRPr="00FC2CA5">
        <w:rPr>
          <w:rFonts w:cs="Open Sans"/>
          <w:shd w:val="clear" w:color="auto" w:fill="FFFFFF"/>
        </w:rPr>
        <w:t>tronie</w:t>
      </w:r>
      <w:r w:rsidR="008745E6" w:rsidRPr="00FC2CA5">
        <w:rPr>
          <w:rFonts w:cs="Open Sans"/>
          <w:shd w:val="clear" w:color="auto" w:fill="FFFFFF"/>
        </w:rPr>
        <w:t>:</w:t>
      </w:r>
      <w:r w:rsidRPr="00FC2CA5">
        <w:rPr>
          <w:rFonts w:cs="Open Sans"/>
          <w:shd w:val="clear" w:color="auto" w:fill="FFFFFF"/>
        </w:rPr>
        <w:t> </w:t>
      </w:r>
      <w:r w:rsidR="007E263B" w:rsidRPr="00FC2CA5">
        <w:t xml:space="preserve"> </w:t>
      </w:r>
      <w:hyperlink r:id="rId8" w:history="1">
        <w:r w:rsidR="007E263B" w:rsidRPr="00FC2CA5">
          <w:rPr>
            <w:rStyle w:val="Hipercze"/>
            <w:color w:val="auto"/>
          </w:rPr>
          <w:t>https://antybiotyki.edu.pl/</w:t>
        </w:r>
      </w:hyperlink>
    </w:p>
    <w:p w14:paraId="40D4FA3D" w14:textId="77777777" w:rsidR="007E263B" w:rsidRPr="00FC2CA5" w:rsidRDefault="007E263B" w:rsidP="006B203E">
      <w:pPr>
        <w:spacing w:after="0" w:line="360" w:lineRule="auto"/>
      </w:pPr>
    </w:p>
    <w:p w14:paraId="47DDBFAF" w14:textId="73620D37" w:rsidR="007E263B" w:rsidRPr="00FC2CA5" w:rsidRDefault="007E263B" w:rsidP="006B203E">
      <w:pPr>
        <w:spacing w:after="0" w:line="360" w:lineRule="auto"/>
        <w:rPr>
          <w:u w:val="single"/>
        </w:rPr>
      </w:pPr>
      <w:r w:rsidRPr="00FC2CA5">
        <w:rPr>
          <w:u w:val="single"/>
        </w:rPr>
        <w:t>Źródła:</w:t>
      </w:r>
    </w:p>
    <w:p w14:paraId="64C0E783" w14:textId="03436C94" w:rsidR="007E263B" w:rsidRPr="00FC2CA5" w:rsidRDefault="007E263B" w:rsidP="007E263B">
      <w:pPr>
        <w:pStyle w:val="Akapitzlist"/>
        <w:numPr>
          <w:ilvl w:val="0"/>
          <w:numId w:val="12"/>
        </w:numPr>
        <w:spacing w:after="0" w:line="360" w:lineRule="auto"/>
      </w:pPr>
      <w:hyperlink r:id="rId9" w:history="1">
        <w:r w:rsidRPr="00FC2CA5">
          <w:rPr>
            <w:rStyle w:val="Hipercze"/>
            <w:color w:val="auto"/>
          </w:rPr>
          <w:t>https://www.who.int/news-room/fact-sheets/detail/antimicrobial-resistance</w:t>
        </w:r>
      </w:hyperlink>
    </w:p>
    <w:p w14:paraId="36F484BE" w14:textId="1A0F0CD7" w:rsidR="008745E6" w:rsidRPr="00FC2CA5" w:rsidRDefault="008745E6" w:rsidP="007E263B">
      <w:pPr>
        <w:pStyle w:val="Akapitzlist"/>
        <w:numPr>
          <w:ilvl w:val="0"/>
          <w:numId w:val="12"/>
        </w:numPr>
        <w:spacing w:after="0" w:line="360" w:lineRule="auto"/>
      </w:pPr>
      <w:hyperlink r:id="rId10" w:history="1">
        <w:r w:rsidRPr="00FC2CA5">
          <w:rPr>
            <w:rStyle w:val="Hipercze"/>
            <w:color w:val="auto"/>
          </w:rPr>
          <w:t>https://antibiotic.ecdc.europa.eu/en/get-informed/factsheets/factsheet-general-public</w:t>
        </w:r>
      </w:hyperlink>
    </w:p>
    <w:p w14:paraId="5F6667D0" w14:textId="1956426F" w:rsidR="007E263B" w:rsidRPr="00FC2CA5" w:rsidRDefault="007E263B" w:rsidP="007E263B">
      <w:pPr>
        <w:pStyle w:val="Akapitzlist"/>
        <w:numPr>
          <w:ilvl w:val="0"/>
          <w:numId w:val="12"/>
        </w:numPr>
        <w:spacing w:after="0" w:line="360" w:lineRule="auto"/>
      </w:pPr>
      <w:hyperlink r:id="rId11" w:history="1">
        <w:r w:rsidRPr="00FC2CA5">
          <w:rPr>
            <w:rStyle w:val="Hipercze"/>
            <w:color w:val="auto"/>
          </w:rPr>
          <w:t>https://antibiotic.ecdc.europa.eu/en</w:t>
        </w:r>
      </w:hyperlink>
    </w:p>
    <w:bookmarkStart w:id="2" w:name="_Hlk213152151"/>
    <w:p w14:paraId="00875545" w14:textId="6068C84D" w:rsidR="007E263B" w:rsidRPr="00FC2CA5" w:rsidRDefault="007E263B" w:rsidP="007E263B">
      <w:pPr>
        <w:pStyle w:val="Akapitzlist"/>
        <w:numPr>
          <w:ilvl w:val="0"/>
          <w:numId w:val="12"/>
        </w:numPr>
        <w:spacing w:after="0" w:line="360" w:lineRule="auto"/>
      </w:pPr>
      <w:r w:rsidRPr="00FC2CA5">
        <w:fldChar w:fldCharType="begin"/>
      </w:r>
      <w:r w:rsidRPr="00FC2CA5">
        <w:instrText>HYPERLINK "https://www.gov.pl/web/gis/opornosc-na-leki-przeciwdrobnoustrojowe-jest-niewidzialna-ale-jej-skutki-sa-powazne-i-powszechnie-widoczne"</w:instrText>
      </w:r>
      <w:r w:rsidRPr="00FC2CA5">
        <w:fldChar w:fldCharType="separate"/>
      </w:r>
      <w:r w:rsidRPr="00FC2CA5">
        <w:rPr>
          <w:rStyle w:val="Hipercze"/>
          <w:color w:val="auto"/>
        </w:rPr>
        <w:t>https://www.gov.pl/web/gis/opornosc-na-leki-przeciwdrobnoustrojowe-jest-niewidzialna-ale-jej-skutki-sa-powazne-i-powszechnie-widoczne</w:t>
      </w:r>
      <w:r w:rsidRPr="00FC2CA5">
        <w:fldChar w:fldCharType="end"/>
      </w:r>
    </w:p>
    <w:bookmarkEnd w:id="2"/>
    <w:p w14:paraId="236C7A8A" w14:textId="77777777" w:rsidR="007E263B" w:rsidRPr="00FC2CA5" w:rsidRDefault="007E263B" w:rsidP="007E263B">
      <w:pPr>
        <w:pStyle w:val="Akapitzlist"/>
        <w:spacing w:after="0" w:line="360" w:lineRule="auto"/>
      </w:pPr>
    </w:p>
    <w:p w14:paraId="0CC02CC9" w14:textId="77777777" w:rsidR="007E263B" w:rsidRPr="00FC2CA5" w:rsidRDefault="007E263B" w:rsidP="007E263B">
      <w:pPr>
        <w:spacing w:after="0" w:line="360" w:lineRule="auto"/>
      </w:pPr>
    </w:p>
    <w:p w14:paraId="5859C8F8" w14:textId="77777777" w:rsidR="00242D0C" w:rsidRPr="00FC2CA5" w:rsidRDefault="00242D0C">
      <w:pPr>
        <w:spacing w:after="0" w:line="360" w:lineRule="auto"/>
      </w:pPr>
    </w:p>
    <w:sectPr w:rsidR="00242D0C" w:rsidRPr="00FC2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D01D" w14:textId="77777777" w:rsidR="00CF20D8" w:rsidRDefault="00CF20D8" w:rsidP="005578EA">
      <w:pPr>
        <w:spacing w:after="0" w:line="240" w:lineRule="auto"/>
      </w:pPr>
      <w:r>
        <w:separator/>
      </w:r>
    </w:p>
  </w:endnote>
  <w:endnote w:type="continuationSeparator" w:id="0">
    <w:p w14:paraId="29A04C09" w14:textId="77777777" w:rsidR="00CF20D8" w:rsidRDefault="00CF20D8" w:rsidP="0055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87F9" w14:textId="77777777" w:rsidR="00CF20D8" w:rsidRDefault="00CF20D8" w:rsidP="005578EA">
      <w:pPr>
        <w:spacing w:after="0" w:line="240" w:lineRule="auto"/>
      </w:pPr>
      <w:r>
        <w:separator/>
      </w:r>
    </w:p>
  </w:footnote>
  <w:footnote w:type="continuationSeparator" w:id="0">
    <w:p w14:paraId="4C0CAD1D" w14:textId="77777777" w:rsidR="00CF20D8" w:rsidRDefault="00CF20D8" w:rsidP="005578EA">
      <w:pPr>
        <w:spacing w:after="0" w:line="240" w:lineRule="auto"/>
      </w:pPr>
      <w:r>
        <w:continuationSeparator/>
      </w:r>
    </w:p>
  </w:footnote>
  <w:footnote w:id="1">
    <w:p w14:paraId="58380E00" w14:textId="36A44F87" w:rsidR="005578EA" w:rsidRDefault="005578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t xml:space="preserve"> </w:t>
      </w:r>
      <w:hyperlink r:id="rId1" w:history="1">
        <w:r w:rsidRPr="002E543F">
          <w:rPr>
            <w:rStyle w:val="Hipercze"/>
          </w:rPr>
          <w:t>https://www.who.int/news-room/fact-sheets/detail/antimicrobial-resistance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16F"/>
    <w:multiLevelType w:val="hybridMultilevel"/>
    <w:tmpl w:val="3D680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4661"/>
    <w:multiLevelType w:val="hybridMultilevel"/>
    <w:tmpl w:val="A4222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31948"/>
    <w:multiLevelType w:val="multilevel"/>
    <w:tmpl w:val="334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D16B5"/>
    <w:multiLevelType w:val="hybridMultilevel"/>
    <w:tmpl w:val="68D42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37E6B"/>
    <w:multiLevelType w:val="hybridMultilevel"/>
    <w:tmpl w:val="679C6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F021F"/>
    <w:multiLevelType w:val="hybridMultilevel"/>
    <w:tmpl w:val="E292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5EFA"/>
    <w:multiLevelType w:val="multilevel"/>
    <w:tmpl w:val="F12E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269FA"/>
    <w:multiLevelType w:val="hybridMultilevel"/>
    <w:tmpl w:val="D6283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43203"/>
    <w:multiLevelType w:val="hybridMultilevel"/>
    <w:tmpl w:val="33B4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44201"/>
    <w:multiLevelType w:val="multilevel"/>
    <w:tmpl w:val="A2F2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A746DF"/>
    <w:multiLevelType w:val="multilevel"/>
    <w:tmpl w:val="23F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F82633"/>
    <w:multiLevelType w:val="multilevel"/>
    <w:tmpl w:val="3FFC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661631"/>
    <w:multiLevelType w:val="hybridMultilevel"/>
    <w:tmpl w:val="C7B27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170F2"/>
    <w:multiLevelType w:val="hybridMultilevel"/>
    <w:tmpl w:val="385C7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87709">
    <w:abstractNumId w:val="2"/>
  </w:num>
  <w:num w:numId="2" w16cid:durableId="204681130">
    <w:abstractNumId w:val="9"/>
  </w:num>
  <w:num w:numId="3" w16cid:durableId="1433164435">
    <w:abstractNumId w:val="6"/>
  </w:num>
  <w:num w:numId="4" w16cid:durableId="1155143120">
    <w:abstractNumId w:val="0"/>
  </w:num>
  <w:num w:numId="5" w16cid:durableId="204298465">
    <w:abstractNumId w:val="1"/>
  </w:num>
  <w:num w:numId="6" w16cid:durableId="1825199651">
    <w:abstractNumId w:val="5"/>
  </w:num>
  <w:num w:numId="7" w16cid:durableId="1800227273">
    <w:abstractNumId w:val="8"/>
  </w:num>
  <w:num w:numId="8" w16cid:durableId="2091273688">
    <w:abstractNumId w:val="3"/>
  </w:num>
  <w:num w:numId="9" w16cid:durableId="2139686030">
    <w:abstractNumId w:val="12"/>
  </w:num>
  <w:num w:numId="10" w16cid:durableId="1092433165">
    <w:abstractNumId w:val="10"/>
  </w:num>
  <w:num w:numId="11" w16cid:durableId="109932806">
    <w:abstractNumId w:val="4"/>
  </w:num>
  <w:num w:numId="12" w16cid:durableId="969672434">
    <w:abstractNumId w:val="13"/>
  </w:num>
  <w:num w:numId="13" w16cid:durableId="818884134">
    <w:abstractNumId w:val="11"/>
  </w:num>
  <w:num w:numId="14" w16cid:durableId="1290166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F5"/>
    <w:rsid w:val="000A336C"/>
    <w:rsid w:val="000B3D61"/>
    <w:rsid w:val="00122EFA"/>
    <w:rsid w:val="0018642A"/>
    <w:rsid w:val="00242D0C"/>
    <w:rsid w:val="002621A0"/>
    <w:rsid w:val="002E356F"/>
    <w:rsid w:val="002E50B4"/>
    <w:rsid w:val="00334170"/>
    <w:rsid w:val="00344132"/>
    <w:rsid w:val="003A00F5"/>
    <w:rsid w:val="003C1968"/>
    <w:rsid w:val="00420D42"/>
    <w:rsid w:val="00426408"/>
    <w:rsid w:val="00444976"/>
    <w:rsid w:val="004801C8"/>
    <w:rsid w:val="004A608B"/>
    <w:rsid w:val="004E6CD8"/>
    <w:rsid w:val="005578EA"/>
    <w:rsid w:val="005618C7"/>
    <w:rsid w:val="00590621"/>
    <w:rsid w:val="005C3046"/>
    <w:rsid w:val="006A2CCE"/>
    <w:rsid w:val="006B203E"/>
    <w:rsid w:val="006C09E0"/>
    <w:rsid w:val="00701935"/>
    <w:rsid w:val="007150F3"/>
    <w:rsid w:val="007B64ED"/>
    <w:rsid w:val="007E263B"/>
    <w:rsid w:val="007E263C"/>
    <w:rsid w:val="00836597"/>
    <w:rsid w:val="008745E6"/>
    <w:rsid w:val="008A2EFD"/>
    <w:rsid w:val="008F26F5"/>
    <w:rsid w:val="00925184"/>
    <w:rsid w:val="009B5384"/>
    <w:rsid w:val="00A01EB2"/>
    <w:rsid w:val="00C33EF6"/>
    <w:rsid w:val="00C9423B"/>
    <w:rsid w:val="00CF20D8"/>
    <w:rsid w:val="00D04B3B"/>
    <w:rsid w:val="00D555B4"/>
    <w:rsid w:val="00DB6949"/>
    <w:rsid w:val="00DF6B10"/>
    <w:rsid w:val="00FB5A4F"/>
    <w:rsid w:val="00FC2CA5"/>
    <w:rsid w:val="00F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9530"/>
  <w15:chartTrackingRefBased/>
  <w15:docId w15:val="{9BA7EE97-59E6-472A-923F-EE36B9D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2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2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2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2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2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2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2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2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2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2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2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26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26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26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26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26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26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2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2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2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26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26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26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2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26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26F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F26F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E263C"/>
    <w:rPr>
      <w:rFonts w:ascii="Times New Roman" w:hAnsi="Times New Roman" w:cs="Times New Roman"/>
      <w:sz w:val="24"/>
      <w:szCs w:val="24"/>
    </w:rPr>
  </w:style>
  <w:style w:type="paragraph" w:customStyle="1" w:styleId="has-medium-font-size">
    <w:name w:val="has-medium-font-size"/>
    <w:basedOn w:val="Normalny"/>
    <w:rsid w:val="000B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B3D61"/>
    <w:rPr>
      <w:b/>
      <w:bCs/>
    </w:rPr>
  </w:style>
  <w:style w:type="character" w:styleId="Uwydatnienie">
    <w:name w:val="Emphasis"/>
    <w:basedOn w:val="Domylnaczcionkaakapitu"/>
    <w:uiPriority w:val="20"/>
    <w:qFormat/>
    <w:rsid w:val="000B3D61"/>
    <w:rPr>
      <w:i/>
      <w:iCs/>
    </w:rPr>
  </w:style>
  <w:style w:type="character" w:styleId="Hipercze">
    <w:name w:val="Hyperlink"/>
    <w:basedOn w:val="Domylnaczcionkaakapitu"/>
    <w:uiPriority w:val="99"/>
    <w:unhideWhenUsed/>
    <w:rsid w:val="006B20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6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5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5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5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38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A2CC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78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78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7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ybiotyki.edu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ibiotic.ecdc.europa.eu/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ntibiotic.ecdc.europa.eu/en/get-informed/factsheets/factsheet-general-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news-room/fact-sheets/detail/antimicrobial-resistanc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news-room/fact-sheets/detail/antimicrobial-resistan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F8D02-C16A-48D9-A366-1C4F05D3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Jan Bondar</dc:creator>
  <cp:keywords/>
  <dc:description/>
  <cp:lastModifiedBy>GIS - Jan Bondar</cp:lastModifiedBy>
  <cp:revision>12</cp:revision>
  <dcterms:created xsi:type="dcterms:W3CDTF">2025-11-05T11:36:00Z</dcterms:created>
  <dcterms:modified xsi:type="dcterms:W3CDTF">2025-11-14T10:38:00Z</dcterms:modified>
</cp:coreProperties>
</file>